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76E8" w14:textId="3F106EAF" w:rsidR="000F0CE5" w:rsidRPr="00C008C2" w:rsidRDefault="000F0CE5" w:rsidP="000F0CE5">
      <w:pPr>
        <w:pStyle w:val="Default"/>
        <w:spacing w:after="111"/>
        <w:ind w:left="360"/>
        <w:jc w:val="center"/>
        <w:rPr>
          <w:rFonts w:ascii="ＭＳ ゴシック" w:eastAsia="ＭＳ ゴシック" w:hAnsi="ＭＳ ゴシック"/>
          <w:b/>
          <w:color w:val="auto"/>
          <w:sz w:val="32"/>
          <w:szCs w:val="32"/>
        </w:rPr>
      </w:pPr>
      <w:r w:rsidRPr="00C008C2">
        <w:rPr>
          <w:rFonts w:ascii="ＭＳ ゴシック" w:eastAsia="ＭＳ ゴシック" w:hAnsi="ＭＳ ゴシック" w:hint="eastAsia"/>
          <w:b/>
          <w:color w:val="auto"/>
          <w:sz w:val="32"/>
          <w:szCs w:val="32"/>
        </w:rPr>
        <w:t>米国OFAC規制に関する留意点について</w:t>
      </w:r>
    </w:p>
    <w:p w14:paraId="426D1101" w14:textId="77777777" w:rsidR="000F0CE5" w:rsidRDefault="000F0CE5" w:rsidP="000F0CE5">
      <w:pPr>
        <w:widowControl/>
        <w:jc w:val="left"/>
        <w:rPr>
          <w:rFonts w:asciiTheme="minorEastAsia" w:hAnsiTheme="minorEastAsia" w:cs="ＭＳ Ｐゴシック"/>
          <w:kern w:val="0"/>
          <w:sz w:val="22"/>
        </w:rPr>
      </w:pPr>
    </w:p>
    <w:p w14:paraId="2E318B8F" w14:textId="45FE28B9" w:rsidR="000F0CE5" w:rsidRPr="00C008C2" w:rsidRDefault="000F0CE5" w:rsidP="000F0CE5">
      <w:pPr>
        <w:widowControl/>
        <w:spacing w:line="340" w:lineRule="exact"/>
        <w:jc w:val="left"/>
        <w:rPr>
          <w:rFonts w:asciiTheme="minorEastAsia" w:hAnsiTheme="minorEastAsia" w:cs="ＭＳ Ｐゴシック"/>
          <w:kern w:val="0"/>
          <w:sz w:val="22"/>
        </w:rPr>
      </w:pPr>
      <w:r w:rsidRPr="00C008C2">
        <w:rPr>
          <w:rFonts w:asciiTheme="minorEastAsia" w:hAnsiTheme="minorEastAsia" w:cs="ＭＳ Ｐゴシック" w:hint="eastAsia"/>
          <w:kern w:val="0"/>
          <w:sz w:val="22"/>
        </w:rPr>
        <w:t>米国の財務省外国資産管理室（OFAC）は、外交政策・安全保障上の目的から、米国が指定した国･地域や特定の個人･団体などについて、取引禁止や資産凍結などの措置を講じており、そうした規制は</w:t>
      </w:r>
      <w:proofErr w:type="spellStart"/>
      <w:r w:rsidRPr="00C008C2">
        <w:rPr>
          <w:rFonts w:asciiTheme="minorEastAsia" w:hAnsiTheme="minorEastAsia" w:cs="ＭＳ Ｐゴシック" w:hint="eastAsia"/>
          <w:kern w:val="0"/>
          <w:sz w:val="22"/>
        </w:rPr>
        <w:t>OFAC</w:t>
      </w:r>
      <w:proofErr w:type="spellEnd"/>
      <w:r w:rsidRPr="00C008C2">
        <w:rPr>
          <w:rFonts w:asciiTheme="minorEastAsia" w:hAnsiTheme="minorEastAsia" w:cs="ＭＳ Ｐゴシック" w:hint="eastAsia"/>
          <w:kern w:val="0"/>
          <w:sz w:val="22"/>
        </w:rPr>
        <w:t>規制と呼ばれています。</w:t>
      </w:r>
    </w:p>
    <w:p w14:paraId="3DC3A85E" w14:textId="77777777" w:rsidR="000F0CE5" w:rsidRPr="00C008C2" w:rsidRDefault="000F0CE5" w:rsidP="000F0CE5">
      <w:pPr>
        <w:widowControl/>
        <w:spacing w:line="340" w:lineRule="exact"/>
        <w:jc w:val="left"/>
        <w:rPr>
          <w:rFonts w:asciiTheme="minorEastAsia" w:hAnsiTheme="minorEastAsia" w:cs="ＭＳ Ｐゴシック"/>
          <w:kern w:val="0"/>
          <w:sz w:val="22"/>
        </w:rPr>
      </w:pPr>
      <w:r w:rsidRPr="00C008C2">
        <w:rPr>
          <w:rFonts w:asciiTheme="minorEastAsia" w:hAnsiTheme="minorEastAsia" w:cs="ＭＳ Ｐゴシック" w:hint="eastAsia"/>
          <w:kern w:val="0"/>
          <w:sz w:val="22"/>
        </w:rPr>
        <w:t xml:space="preserve">OFAC規制は、米国人・米国金融機関を含む米国法人のほか、米国内に所在する外国人・外国法人に適用され、主に、米国で決済される米ドル建取引が、規制の適用を受けます。本邦でお受付する外国為替取引であっても、「制裁対象者」の関与する米ドル建取引等は規制対象となり、お客さまの取引が規制に該当した場合、海外の銀行からお取引を制限されるなど、その後のお取引にも支障が生じる可能性があります。 </w:t>
      </w:r>
    </w:p>
    <w:p w14:paraId="161EF990" w14:textId="65374D3C" w:rsidR="000F0CE5" w:rsidRPr="00C008C2" w:rsidRDefault="000F0CE5" w:rsidP="000F0CE5">
      <w:pPr>
        <w:widowControl/>
        <w:spacing w:line="340" w:lineRule="exact"/>
        <w:jc w:val="left"/>
        <w:rPr>
          <w:rFonts w:asciiTheme="minorEastAsia" w:hAnsiTheme="minorEastAsia" w:cs="ＭＳ Ｐゴシック"/>
          <w:kern w:val="0"/>
          <w:sz w:val="22"/>
        </w:rPr>
      </w:pPr>
      <w:r w:rsidRPr="00C008C2">
        <w:rPr>
          <w:rFonts w:asciiTheme="minorEastAsia" w:hAnsiTheme="minorEastAsia" w:cs="ＭＳ Ｐゴシック" w:hint="eastAsia"/>
          <w:kern w:val="0"/>
          <w:sz w:val="22"/>
        </w:rPr>
        <w:t>つきましては、下</w:t>
      </w:r>
      <w:r w:rsidR="00D96A7D">
        <w:rPr>
          <w:rFonts w:asciiTheme="minorEastAsia" w:hAnsiTheme="minorEastAsia" w:cs="ＭＳ Ｐゴシック" w:hint="eastAsia"/>
          <w:kern w:val="0"/>
          <w:sz w:val="22"/>
        </w:rPr>
        <w:t>記</w:t>
      </w:r>
      <w:r w:rsidRPr="00C008C2">
        <w:rPr>
          <w:rFonts w:asciiTheme="minorEastAsia" w:hAnsiTheme="minorEastAsia" w:cs="ＭＳ Ｐゴシック" w:hint="eastAsia"/>
          <w:kern w:val="0"/>
          <w:sz w:val="22"/>
        </w:rPr>
        <w:t xml:space="preserve">のようなお取引は弊社ではお取り扱いができませんので、外国為替取引を行うお客さまにおかれましては、これらに該当しないお取引であることに十分にご留意・ご確認頂いた上で、ご依頼頂きますようお願い申し上げます。 </w:t>
      </w:r>
    </w:p>
    <w:p w14:paraId="3D58D3DE" w14:textId="77777777" w:rsidR="000F0CE5" w:rsidRPr="00C008C2" w:rsidRDefault="000F0CE5" w:rsidP="000F0CE5">
      <w:pPr>
        <w:widowControl/>
        <w:spacing w:line="340" w:lineRule="exact"/>
        <w:jc w:val="left"/>
        <w:rPr>
          <w:rFonts w:asciiTheme="minorEastAsia" w:hAnsiTheme="minorEastAsia" w:cs="ＭＳ Ｐゴシック"/>
          <w:kern w:val="0"/>
          <w:sz w:val="22"/>
        </w:rPr>
      </w:pPr>
    </w:p>
    <w:p w14:paraId="13C4BB3A" w14:textId="1130FB24" w:rsidR="000F0CE5" w:rsidRDefault="000F0CE5" w:rsidP="000F0CE5">
      <w:pPr>
        <w:widowControl/>
        <w:spacing w:line="340" w:lineRule="exact"/>
        <w:jc w:val="left"/>
        <w:rPr>
          <w:rFonts w:asciiTheme="majorEastAsia" w:eastAsiaTheme="majorEastAsia" w:hAnsiTheme="majorEastAsia" w:cs="ＭＳ Ｐゴシック"/>
          <w:kern w:val="0"/>
          <w:sz w:val="22"/>
        </w:rPr>
      </w:pPr>
      <w:r w:rsidRPr="000F0CE5">
        <w:rPr>
          <w:rFonts w:asciiTheme="majorEastAsia" w:eastAsiaTheme="majorEastAsia" w:hAnsiTheme="majorEastAsia" w:cs="ＭＳ Ｐゴシック" w:hint="eastAsia"/>
          <w:b/>
          <w:bCs/>
          <w:kern w:val="0"/>
          <w:sz w:val="22"/>
        </w:rPr>
        <w:t>OFAC規制上の理由により、弊社でお取り扱いができないお取引（</w:t>
      </w:r>
      <w:r w:rsidR="00FC044F">
        <w:rPr>
          <w:rFonts w:asciiTheme="majorEastAsia" w:eastAsiaTheme="majorEastAsia" w:hAnsiTheme="majorEastAsia" w:cs="ＭＳ Ｐゴシック" w:hint="eastAsia"/>
          <w:b/>
          <w:bCs/>
          <w:kern w:val="0"/>
          <w:sz w:val="22"/>
        </w:rPr>
        <w:t>2022</w:t>
      </w:r>
      <w:r w:rsidRPr="000F0CE5">
        <w:rPr>
          <w:rFonts w:asciiTheme="majorEastAsia" w:eastAsiaTheme="majorEastAsia" w:hAnsiTheme="majorEastAsia" w:cs="ＭＳ Ｐゴシック" w:hint="eastAsia"/>
          <w:b/>
          <w:bCs/>
          <w:kern w:val="0"/>
          <w:sz w:val="22"/>
        </w:rPr>
        <w:t>年</w:t>
      </w:r>
      <w:r w:rsidR="00FC044F">
        <w:rPr>
          <w:rFonts w:asciiTheme="majorEastAsia" w:eastAsiaTheme="majorEastAsia" w:hAnsiTheme="majorEastAsia" w:cs="ＭＳ Ｐゴシック" w:hint="eastAsia"/>
          <w:b/>
          <w:bCs/>
          <w:kern w:val="0"/>
          <w:sz w:val="22"/>
        </w:rPr>
        <w:t>8</w:t>
      </w:r>
      <w:r w:rsidRPr="000F0CE5">
        <w:rPr>
          <w:rFonts w:asciiTheme="majorEastAsia" w:eastAsiaTheme="majorEastAsia" w:hAnsiTheme="majorEastAsia" w:cs="ＭＳ Ｐゴシック" w:hint="eastAsia"/>
          <w:b/>
          <w:bCs/>
          <w:kern w:val="0"/>
          <w:sz w:val="22"/>
        </w:rPr>
        <w:t>月現在）</w:t>
      </w:r>
      <w:r w:rsidRPr="000F0CE5">
        <w:rPr>
          <w:rFonts w:asciiTheme="majorEastAsia" w:eastAsiaTheme="majorEastAsia" w:hAnsiTheme="majorEastAsia" w:cs="ＭＳ Ｐゴシック" w:hint="eastAsia"/>
          <w:kern w:val="0"/>
          <w:sz w:val="22"/>
        </w:rPr>
        <w:t xml:space="preserve"> </w:t>
      </w:r>
    </w:p>
    <w:p w14:paraId="7D4F4FCC" w14:textId="77777777" w:rsidR="000F0CE5" w:rsidRPr="000F0CE5" w:rsidRDefault="000F0CE5" w:rsidP="000F0CE5">
      <w:pPr>
        <w:widowControl/>
        <w:spacing w:line="340" w:lineRule="exact"/>
        <w:jc w:val="left"/>
        <w:rPr>
          <w:rFonts w:asciiTheme="majorEastAsia" w:eastAsiaTheme="majorEastAsia" w:hAnsiTheme="majorEastAsia" w:cs="ＭＳ Ｐゴシック"/>
          <w:b/>
          <w:kern w:val="0"/>
          <w:sz w:val="22"/>
        </w:rPr>
      </w:pPr>
      <w:r w:rsidRPr="000F0CE5">
        <w:rPr>
          <w:rFonts w:asciiTheme="majorEastAsia" w:eastAsiaTheme="majorEastAsia" w:hAnsiTheme="majorEastAsia" w:cs="ＭＳ Ｐゴシック" w:hint="eastAsia"/>
          <w:b/>
          <w:kern w:val="0"/>
          <w:sz w:val="22"/>
        </w:rPr>
        <w:t>■</w:t>
      </w:r>
      <w:r w:rsidRPr="000F0CE5">
        <w:rPr>
          <w:rFonts w:asciiTheme="majorEastAsia" w:eastAsiaTheme="majorEastAsia" w:hAnsiTheme="majorEastAsia" w:cs="ＭＳ Ｐゴシック" w:hint="eastAsia"/>
          <w:b/>
          <w:bCs/>
          <w:kern w:val="0"/>
          <w:sz w:val="22"/>
        </w:rPr>
        <w:t>以下の（1）、（2）のいずれかに該当する、米ドル建のお取引</w:t>
      </w:r>
      <w:r w:rsidRPr="000F0CE5">
        <w:rPr>
          <w:rFonts w:asciiTheme="majorEastAsia" w:eastAsiaTheme="majorEastAsia" w:hAnsiTheme="majorEastAsia" w:cs="ＭＳ Ｐゴシック" w:hint="eastAsia"/>
          <w:b/>
          <w:kern w:val="0"/>
          <w:sz w:val="22"/>
        </w:rPr>
        <w:t xml:space="preserve"> </w:t>
      </w:r>
    </w:p>
    <w:p w14:paraId="66B539FF" w14:textId="7263AB88" w:rsidR="000F0CE5" w:rsidRPr="00C008C2" w:rsidRDefault="000F0CE5" w:rsidP="000F0CE5">
      <w:pPr>
        <w:widowControl/>
        <w:spacing w:line="340" w:lineRule="exact"/>
        <w:ind w:leftChars="100" w:left="650" w:hangingChars="200" w:hanging="440"/>
        <w:jc w:val="left"/>
        <w:rPr>
          <w:rFonts w:asciiTheme="minorEastAsia" w:hAnsiTheme="minorEastAsia" w:cs="ＭＳ Ｐゴシック"/>
          <w:kern w:val="0"/>
          <w:sz w:val="22"/>
        </w:rPr>
      </w:pPr>
      <w:r w:rsidRPr="00C008C2">
        <w:rPr>
          <w:rFonts w:asciiTheme="minorEastAsia" w:hAnsiTheme="minorEastAsia" w:cs="ＭＳ Ｐゴシック" w:hint="eastAsia"/>
          <w:kern w:val="0"/>
          <w:sz w:val="22"/>
        </w:rPr>
        <w:t>(1) お取引の当事者（注）の所在地・関係国・関係地等に、北朝鮮、イラン、キューバ、シリア、クリミア地域</w:t>
      </w:r>
      <w:r w:rsidR="00FC044F">
        <w:rPr>
          <w:rFonts w:asciiTheme="minorEastAsia" w:hAnsiTheme="minorEastAsia" w:cs="ＭＳ Ｐゴシック" w:hint="eastAsia"/>
          <w:kern w:val="0"/>
          <w:sz w:val="22"/>
        </w:rPr>
        <w:t>、ドネツク人民共和国（自称）、ルハンスク人民共和国（自称）</w:t>
      </w:r>
      <w:r w:rsidRPr="00C008C2">
        <w:rPr>
          <w:rFonts w:asciiTheme="minorEastAsia" w:hAnsiTheme="minorEastAsia" w:cs="ＭＳ Ｐゴシック" w:hint="eastAsia"/>
          <w:kern w:val="0"/>
          <w:sz w:val="22"/>
        </w:rPr>
        <w:t>が含まれている場合</w:t>
      </w:r>
    </w:p>
    <w:p w14:paraId="517ED343" w14:textId="77777777" w:rsidR="000F0CE5" w:rsidRPr="00C008C2" w:rsidRDefault="000F0CE5" w:rsidP="000F0CE5">
      <w:pPr>
        <w:widowControl/>
        <w:spacing w:line="340" w:lineRule="exact"/>
        <w:ind w:leftChars="100" w:left="650" w:hangingChars="200" w:hanging="440"/>
        <w:jc w:val="left"/>
        <w:rPr>
          <w:rFonts w:asciiTheme="minorEastAsia" w:hAnsiTheme="minorEastAsia" w:cs="ＭＳ Ｐゴシック"/>
          <w:kern w:val="0"/>
          <w:sz w:val="22"/>
        </w:rPr>
      </w:pPr>
      <w:r w:rsidRPr="00C008C2">
        <w:rPr>
          <w:rFonts w:asciiTheme="minorEastAsia" w:hAnsiTheme="minorEastAsia" w:cs="ＭＳ Ｐゴシック" w:hint="eastAsia"/>
          <w:kern w:val="0"/>
          <w:sz w:val="22"/>
        </w:rPr>
        <w:t>(2) 米国政府により特定されている、テロリスト、麻薬取引者、大量破壊兵器取引者、多国籍犯罪組織などの関与するお取引</w:t>
      </w:r>
    </w:p>
    <w:p w14:paraId="2400564D" w14:textId="159ADFA0" w:rsidR="00BA4F63" w:rsidRDefault="000F0CE5" w:rsidP="000F0CE5">
      <w:pPr>
        <w:widowControl/>
        <w:spacing w:line="340" w:lineRule="exact"/>
        <w:ind w:left="880" w:hangingChars="400" w:hanging="880"/>
        <w:jc w:val="left"/>
        <w:rPr>
          <w:rFonts w:asciiTheme="minorEastAsia" w:hAnsiTheme="minorEastAsia" w:cs="ＭＳ Ｐゴシック"/>
          <w:kern w:val="0"/>
          <w:sz w:val="22"/>
        </w:rPr>
      </w:pPr>
      <w:r w:rsidRPr="00C008C2">
        <w:rPr>
          <w:rFonts w:asciiTheme="minorEastAsia" w:hAnsiTheme="minorEastAsia" w:cs="ＭＳ Ｐゴシック" w:hint="eastAsia"/>
          <w:kern w:val="0"/>
          <w:sz w:val="22"/>
        </w:rPr>
        <w:t>（注）お取引の当事者とは送金人、受取人、輸入者、輸出者、荷受人、取引に関与する銀行・</w:t>
      </w:r>
    </w:p>
    <w:p w14:paraId="66846BAD" w14:textId="7181B505" w:rsidR="000F0CE5" w:rsidRPr="00C008C2" w:rsidRDefault="000F0CE5" w:rsidP="0097683B">
      <w:pPr>
        <w:widowControl/>
        <w:spacing w:line="340" w:lineRule="exact"/>
        <w:ind w:leftChars="250" w:left="525" w:firstLineChars="50" w:firstLine="110"/>
        <w:jc w:val="left"/>
        <w:rPr>
          <w:rFonts w:asciiTheme="minorEastAsia" w:hAnsiTheme="minorEastAsia" w:cs="ＭＳ Ｐゴシック"/>
          <w:kern w:val="0"/>
          <w:sz w:val="22"/>
        </w:rPr>
      </w:pPr>
      <w:r w:rsidRPr="00C008C2">
        <w:rPr>
          <w:rFonts w:asciiTheme="minorEastAsia" w:hAnsiTheme="minorEastAsia" w:cs="ＭＳ Ｐゴシック" w:hint="eastAsia"/>
          <w:kern w:val="0"/>
          <w:sz w:val="22"/>
        </w:rPr>
        <w:t>船会社・航空会社・輸送船・航空機・荷揚/積荷業者、ターミナルや埠頭の所有者・運営者（運営会社）等を指します。また、関係地とは、原産地、船積地、荷揚地、仕向地、船籍等</w:t>
      </w:r>
      <w:r w:rsidR="00BA4F63">
        <w:rPr>
          <w:rFonts w:asciiTheme="minorEastAsia" w:hAnsiTheme="minorEastAsia" w:cs="ＭＳ Ｐゴシック" w:hint="eastAsia"/>
          <w:kern w:val="0"/>
          <w:sz w:val="22"/>
        </w:rPr>
        <w:t xml:space="preserve">  </w:t>
      </w:r>
      <w:r w:rsidR="00BA4F63">
        <w:rPr>
          <w:rFonts w:asciiTheme="minorEastAsia" w:hAnsiTheme="minorEastAsia" w:cs="ＭＳ Ｐゴシック"/>
          <w:kern w:val="0"/>
          <w:sz w:val="22"/>
        </w:rPr>
        <w:br/>
        <w:t xml:space="preserve"> </w:t>
      </w:r>
      <w:r w:rsidRPr="00C008C2">
        <w:rPr>
          <w:rFonts w:asciiTheme="minorEastAsia" w:hAnsiTheme="minorEastAsia" w:cs="ＭＳ Ｐゴシック" w:hint="eastAsia"/>
          <w:kern w:val="0"/>
          <w:sz w:val="22"/>
        </w:rPr>
        <w:t xml:space="preserve">を指します </w:t>
      </w:r>
    </w:p>
    <w:p w14:paraId="64CAC78B" w14:textId="77777777" w:rsidR="000F0CE5" w:rsidRPr="000F0CE5" w:rsidRDefault="000F0CE5" w:rsidP="000F0CE5">
      <w:pPr>
        <w:widowControl/>
        <w:spacing w:line="340" w:lineRule="exact"/>
        <w:jc w:val="left"/>
        <w:rPr>
          <w:rFonts w:asciiTheme="majorEastAsia" w:eastAsiaTheme="majorEastAsia" w:hAnsiTheme="majorEastAsia" w:cs="ＭＳ Ｐゴシック"/>
          <w:b/>
          <w:kern w:val="0"/>
          <w:sz w:val="22"/>
        </w:rPr>
      </w:pPr>
      <w:r w:rsidRPr="000F0CE5">
        <w:rPr>
          <w:rFonts w:asciiTheme="majorEastAsia" w:eastAsiaTheme="majorEastAsia" w:hAnsiTheme="majorEastAsia" w:cs="ＭＳ Ｐゴシック" w:hint="eastAsia"/>
          <w:b/>
          <w:kern w:val="0"/>
          <w:sz w:val="22"/>
        </w:rPr>
        <w:t>■</w:t>
      </w:r>
      <w:r w:rsidRPr="000F0CE5">
        <w:rPr>
          <w:rFonts w:asciiTheme="majorEastAsia" w:eastAsiaTheme="majorEastAsia" w:hAnsiTheme="majorEastAsia" w:cs="ＭＳ Ｐゴシック" w:hint="eastAsia"/>
          <w:b/>
          <w:bCs/>
          <w:kern w:val="0"/>
          <w:sz w:val="22"/>
        </w:rPr>
        <w:t>米ドル建以外であっても、上記（1）、（2）のいずれかに該当し、かつ以下に該当するお取引</w:t>
      </w:r>
      <w:r w:rsidRPr="000F0CE5">
        <w:rPr>
          <w:rFonts w:asciiTheme="majorEastAsia" w:eastAsiaTheme="majorEastAsia" w:hAnsiTheme="majorEastAsia" w:cs="ＭＳ Ｐゴシック" w:hint="eastAsia"/>
          <w:b/>
          <w:kern w:val="0"/>
          <w:sz w:val="22"/>
        </w:rPr>
        <w:t xml:space="preserve"> </w:t>
      </w:r>
    </w:p>
    <w:p w14:paraId="52560C4B" w14:textId="77777777" w:rsidR="000F0CE5" w:rsidRPr="00C008C2" w:rsidRDefault="000F0CE5" w:rsidP="0097683B">
      <w:pPr>
        <w:widowControl/>
        <w:spacing w:line="340" w:lineRule="exact"/>
        <w:ind w:leftChars="100" w:left="210"/>
        <w:jc w:val="left"/>
        <w:rPr>
          <w:rFonts w:asciiTheme="minorEastAsia" w:hAnsiTheme="minorEastAsia" w:cs="ＭＳ Ｐゴシック"/>
          <w:kern w:val="0"/>
          <w:sz w:val="22"/>
        </w:rPr>
      </w:pPr>
      <w:r w:rsidRPr="00C008C2">
        <w:rPr>
          <w:rFonts w:asciiTheme="minorEastAsia" w:hAnsiTheme="minorEastAsia" w:cs="ＭＳ Ｐゴシック" w:hint="eastAsia"/>
          <w:kern w:val="0"/>
          <w:sz w:val="22"/>
        </w:rPr>
        <w:t>米国金融機関（在米支店等の米国所在の金融機関・米国に本店を置く金融機関の米国外拠点を含む）、米国法人（米国外の米国籍の法人を含む）、米国人、米国内に所在する者（米国内の外国法人・外国人を含む）が関与するお取引</w:t>
      </w:r>
    </w:p>
    <w:p w14:paraId="4A226932" w14:textId="77777777" w:rsidR="000F0CE5" w:rsidRPr="00C008C2" w:rsidRDefault="000F0CE5" w:rsidP="000F0CE5">
      <w:pPr>
        <w:pStyle w:val="aa"/>
        <w:widowControl/>
        <w:numPr>
          <w:ilvl w:val="0"/>
          <w:numId w:val="4"/>
        </w:numPr>
        <w:spacing w:line="340" w:lineRule="exact"/>
        <w:ind w:leftChars="0"/>
        <w:jc w:val="left"/>
        <w:rPr>
          <w:rFonts w:asciiTheme="minorEastAsia" w:hAnsiTheme="minorEastAsia" w:cs="ＭＳ Ｐゴシック"/>
          <w:kern w:val="0"/>
          <w:sz w:val="22"/>
        </w:rPr>
      </w:pPr>
      <w:r w:rsidRPr="00C008C2">
        <w:rPr>
          <w:rFonts w:asciiTheme="minorEastAsia" w:hAnsiTheme="minorEastAsia" w:cs="ＭＳ Ｐゴシック" w:hint="eastAsia"/>
          <w:kern w:val="0"/>
          <w:sz w:val="22"/>
        </w:rPr>
        <w:t>あくまでも、上記は例示でありOFAC規制の詳細についてはOFACホームページにて、ご確認下さい。</w:t>
      </w:r>
      <w:hyperlink r:id="rId8" w:tgtFrame="_blank" w:history="1">
        <w:r w:rsidRPr="00C008C2">
          <w:rPr>
            <w:rFonts w:asciiTheme="minorEastAsia" w:hAnsiTheme="minorEastAsia" w:cs="ＭＳ Ｐゴシック" w:hint="eastAsia"/>
            <w:kern w:val="0"/>
            <w:sz w:val="22"/>
            <w:u w:val="single"/>
          </w:rPr>
          <w:t>http://www.treasury.gov/resource-center/sanctions/Pages/default.aspx</w:t>
        </w:r>
      </w:hyperlink>
    </w:p>
    <w:p w14:paraId="252A75BD" w14:textId="77777777" w:rsidR="000F0CE5" w:rsidRPr="00C008C2" w:rsidRDefault="000F0CE5" w:rsidP="000F0CE5">
      <w:pPr>
        <w:pStyle w:val="aa"/>
        <w:widowControl/>
        <w:spacing w:line="340" w:lineRule="exact"/>
        <w:ind w:leftChars="0" w:left="580"/>
        <w:jc w:val="left"/>
        <w:rPr>
          <w:rFonts w:asciiTheme="minorEastAsia" w:hAnsiTheme="minorEastAsia" w:cs="ＭＳ Ｐゴシック"/>
          <w:kern w:val="0"/>
          <w:sz w:val="22"/>
        </w:rPr>
      </w:pPr>
    </w:p>
    <w:p w14:paraId="68F38D94" w14:textId="77777777" w:rsidR="000F0CE5" w:rsidRPr="00C008C2" w:rsidRDefault="000F0CE5" w:rsidP="000F0CE5">
      <w:pPr>
        <w:widowControl/>
        <w:spacing w:line="340" w:lineRule="exact"/>
        <w:jc w:val="left"/>
        <w:rPr>
          <w:rFonts w:ascii="ＭＳ 明朝" w:eastAsia="ＭＳ 明朝" w:hAnsi="ＭＳ 明朝"/>
          <w:sz w:val="22"/>
        </w:rPr>
      </w:pPr>
      <w:r w:rsidRPr="00C008C2">
        <w:rPr>
          <w:rFonts w:ascii="ＭＳ 明朝" w:eastAsia="ＭＳ 明朝" w:hAnsi="ＭＳ 明朝" w:hint="eastAsia"/>
          <w:sz w:val="22"/>
        </w:rPr>
        <w:t>なお、お取引の受付後であっても、お客さまよりご依頼頂いたお取引がOFAC規制に該当する恐れがある場合には、弊社よりお取引の内容を確認させて頂き、その結果によっては、弊社の判断により、当該お取引の中止又は取消等を行うことがございます。</w:t>
      </w:r>
    </w:p>
    <w:p w14:paraId="628B5043" w14:textId="77777777" w:rsidR="000F0CE5" w:rsidRPr="00C008C2" w:rsidRDefault="000F0CE5" w:rsidP="000F0CE5">
      <w:pPr>
        <w:widowControl/>
        <w:spacing w:line="340" w:lineRule="exact"/>
        <w:jc w:val="left"/>
        <w:rPr>
          <w:rFonts w:ascii="ＭＳ 明朝" w:eastAsia="ＭＳ 明朝" w:hAnsi="ＭＳ 明朝"/>
          <w:sz w:val="22"/>
        </w:rPr>
      </w:pPr>
      <w:r w:rsidRPr="00C008C2">
        <w:rPr>
          <w:rFonts w:ascii="ＭＳ 明朝" w:eastAsia="ＭＳ 明朝" w:hAnsi="ＭＳ 明朝" w:hint="eastAsia"/>
          <w:sz w:val="22"/>
        </w:rPr>
        <w:t>お取引内容の確認の際は、日本側の調査とは別に、米国金融機関が別途独自の調査を実施する可能性がございますので、ご協力を宜しくお願い申し上げます。</w:t>
      </w:r>
    </w:p>
    <w:p w14:paraId="39F5D749" w14:textId="159310F4" w:rsidR="000F0CE5" w:rsidRPr="000F0CE5" w:rsidRDefault="000F0CE5" w:rsidP="000F0CE5">
      <w:pPr>
        <w:widowControl/>
        <w:spacing w:line="340" w:lineRule="exact"/>
        <w:jc w:val="left"/>
        <w:rPr>
          <w:rFonts w:asciiTheme="minorEastAsia" w:hAnsiTheme="minorEastAsia" w:cs="Meiryo UI"/>
          <w:b/>
          <w:bCs/>
          <w:kern w:val="0"/>
          <w:sz w:val="22"/>
        </w:rPr>
      </w:pPr>
      <w:r w:rsidRPr="000F0CE5">
        <w:rPr>
          <w:rFonts w:asciiTheme="minorEastAsia" w:hAnsiTheme="minorEastAsia" w:hint="eastAsia"/>
          <w:sz w:val="22"/>
        </w:rPr>
        <w:t>また、OFAC規制による理由で資産凍結の措置が講じられた場合、取引の代り金としてお預かりした資金の返却は致しかねます。そうした場合にはお客さまご自身にて、OFACに対する凍結解除の申請等、然るべきご対応を頂く必要がございますので、予めご承知置き下さい。</w:t>
      </w:r>
    </w:p>
    <w:sectPr w:rsidR="000F0CE5" w:rsidRPr="000F0CE5" w:rsidSect="00174A4B">
      <w:headerReference w:type="default" r:id="rId9"/>
      <w:foot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46F8" w14:textId="77777777" w:rsidR="0046700E" w:rsidRDefault="0046700E" w:rsidP="00352F01">
      <w:r>
        <w:separator/>
      </w:r>
    </w:p>
  </w:endnote>
  <w:endnote w:type="continuationSeparator" w:id="0">
    <w:p w14:paraId="3B7D98BC" w14:textId="77777777" w:rsidR="0046700E" w:rsidRDefault="0046700E" w:rsidP="0035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B16F" w14:textId="73224C60" w:rsidR="00340884" w:rsidRDefault="00340884">
    <w:pPr>
      <w:pStyle w:val="a7"/>
    </w:pPr>
    <w:r>
      <w:rPr>
        <w:rFonts w:hint="eastAsia"/>
        <w:noProof/>
      </w:rPr>
      <w:drawing>
        <wp:anchor distT="0" distB="0" distL="114300" distR="114300" simplePos="0" relativeHeight="251659264" behindDoc="0" locked="0" layoutInCell="1" allowOverlap="1" wp14:anchorId="30D22C3B" wp14:editId="05D8F4F7">
          <wp:simplePos x="0" y="0"/>
          <wp:positionH relativeFrom="column">
            <wp:posOffset>1219200</wp:posOffset>
          </wp:positionH>
          <wp:positionV relativeFrom="paragraph">
            <wp:posOffset>52705</wp:posOffset>
          </wp:positionV>
          <wp:extent cx="3290570" cy="479425"/>
          <wp:effectExtent l="0" t="0" r="508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FG_tr_logo_blk_1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570" cy="4794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30F5" w14:textId="77777777" w:rsidR="0046700E" w:rsidRDefault="0046700E" w:rsidP="00352F01">
      <w:r>
        <w:separator/>
      </w:r>
    </w:p>
  </w:footnote>
  <w:footnote w:type="continuationSeparator" w:id="0">
    <w:p w14:paraId="6061FD38" w14:textId="77777777" w:rsidR="0046700E" w:rsidRDefault="0046700E" w:rsidP="00352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C23B" w14:textId="5BA0A2A4" w:rsidR="00352F01" w:rsidRPr="00340884" w:rsidRDefault="00352F01" w:rsidP="00340884">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8F7"/>
    <w:multiLevelType w:val="hybridMultilevel"/>
    <w:tmpl w:val="3F28509A"/>
    <w:lvl w:ilvl="0" w:tplc="1CCE80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3149E"/>
    <w:multiLevelType w:val="hybridMultilevel"/>
    <w:tmpl w:val="59EE8688"/>
    <w:lvl w:ilvl="0" w:tplc="727EEA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084EA8"/>
    <w:multiLevelType w:val="multilevel"/>
    <w:tmpl w:val="A662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F23EB"/>
    <w:multiLevelType w:val="hybridMultilevel"/>
    <w:tmpl w:val="C91E3972"/>
    <w:lvl w:ilvl="0" w:tplc="1ED8BE40">
      <w:numFmt w:val="bullet"/>
      <w:lvlText w:val="※"/>
      <w:lvlJc w:val="left"/>
      <w:pPr>
        <w:ind w:left="580" w:hanging="360"/>
      </w:pPr>
      <w:rPr>
        <w:rFonts w:ascii="ＭＳ 明朝" w:eastAsia="ＭＳ 明朝" w:hAnsi="ＭＳ 明朝" w:cs="ＭＳ Ｐゴシック"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2A2159E"/>
    <w:multiLevelType w:val="multilevel"/>
    <w:tmpl w:val="0FB2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4092E"/>
    <w:multiLevelType w:val="multilevel"/>
    <w:tmpl w:val="A462D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7757F"/>
    <w:multiLevelType w:val="hybridMultilevel"/>
    <w:tmpl w:val="4DE6C7AE"/>
    <w:lvl w:ilvl="0" w:tplc="D1C4D73C">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800DD3"/>
    <w:multiLevelType w:val="hybridMultilevel"/>
    <w:tmpl w:val="90A8F53E"/>
    <w:lvl w:ilvl="0" w:tplc="8E50F9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AE1754"/>
    <w:multiLevelType w:val="hybridMultilevel"/>
    <w:tmpl w:val="EA14C68E"/>
    <w:lvl w:ilvl="0" w:tplc="8E50F9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3F2962"/>
    <w:multiLevelType w:val="hybridMultilevel"/>
    <w:tmpl w:val="BC569F8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A647B52"/>
    <w:multiLevelType w:val="hybridMultilevel"/>
    <w:tmpl w:val="99306D5A"/>
    <w:lvl w:ilvl="0" w:tplc="8E50F9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AE681C"/>
    <w:multiLevelType w:val="hybridMultilevel"/>
    <w:tmpl w:val="94D07A04"/>
    <w:lvl w:ilvl="0" w:tplc="8E50F9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911373"/>
    <w:multiLevelType w:val="hybridMultilevel"/>
    <w:tmpl w:val="B05AEE3A"/>
    <w:lvl w:ilvl="0" w:tplc="1ED8BE40">
      <w:numFmt w:val="bullet"/>
      <w:lvlText w:val="※"/>
      <w:lvlJc w:val="left"/>
      <w:pPr>
        <w:ind w:left="640" w:hanging="420"/>
      </w:pPr>
      <w:rPr>
        <w:rFonts w:ascii="ＭＳ 明朝" w:eastAsia="ＭＳ 明朝" w:hAnsi="ＭＳ 明朝" w:cs="ＭＳ Ｐゴシック"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841698287">
    <w:abstractNumId w:val="7"/>
  </w:num>
  <w:num w:numId="2" w16cid:durableId="1528719867">
    <w:abstractNumId w:val="10"/>
  </w:num>
  <w:num w:numId="3" w16cid:durableId="14503511">
    <w:abstractNumId w:val="9"/>
  </w:num>
  <w:num w:numId="4" w16cid:durableId="1826507621">
    <w:abstractNumId w:val="3"/>
  </w:num>
  <w:num w:numId="5" w16cid:durableId="56560736">
    <w:abstractNumId w:val="0"/>
  </w:num>
  <w:num w:numId="6" w16cid:durableId="1424302315">
    <w:abstractNumId w:val="12"/>
  </w:num>
  <w:num w:numId="7" w16cid:durableId="1178080201">
    <w:abstractNumId w:val="6"/>
  </w:num>
  <w:num w:numId="8" w16cid:durableId="1505821471">
    <w:abstractNumId w:val="1"/>
  </w:num>
  <w:num w:numId="9" w16cid:durableId="527566825">
    <w:abstractNumId w:val="4"/>
  </w:num>
  <w:num w:numId="10" w16cid:durableId="1353460588">
    <w:abstractNumId w:val="5"/>
  </w:num>
  <w:num w:numId="11" w16cid:durableId="1336497375">
    <w:abstractNumId w:val="2"/>
  </w:num>
  <w:num w:numId="12" w16cid:durableId="1353873317">
    <w:abstractNumId w:val="8"/>
  </w:num>
  <w:num w:numId="13" w16cid:durableId="4394506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trackRevision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ED"/>
    <w:rsid w:val="00060744"/>
    <w:rsid w:val="00072FBC"/>
    <w:rsid w:val="000941D6"/>
    <w:rsid w:val="000A0BFC"/>
    <w:rsid w:val="000C7C82"/>
    <w:rsid w:val="000F0CE5"/>
    <w:rsid w:val="00126968"/>
    <w:rsid w:val="00156634"/>
    <w:rsid w:val="00174A4B"/>
    <w:rsid w:val="001B4545"/>
    <w:rsid w:val="002557ED"/>
    <w:rsid w:val="002A32F1"/>
    <w:rsid w:val="00332F7E"/>
    <w:rsid w:val="00340884"/>
    <w:rsid w:val="00352F01"/>
    <w:rsid w:val="003A43B6"/>
    <w:rsid w:val="0046700E"/>
    <w:rsid w:val="00524DBA"/>
    <w:rsid w:val="00547569"/>
    <w:rsid w:val="00653DD8"/>
    <w:rsid w:val="00672898"/>
    <w:rsid w:val="00685D39"/>
    <w:rsid w:val="007705DD"/>
    <w:rsid w:val="007A3A22"/>
    <w:rsid w:val="00924090"/>
    <w:rsid w:val="00940D91"/>
    <w:rsid w:val="0097683B"/>
    <w:rsid w:val="00A15896"/>
    <w:rsid w:val="00A47F6D"/>
    <w:rsid w:val="00B46580"/>
    <w:rsid w:val="00B651FB"/>
    <w:rsid w:val="00BA4F63"/>
    <w:rsid w:val="00BC6DC2"/>
    <w:rsid w:val="00C008C2"/>
    <w:rsid w:val="00C6475F"/>
    <w:rsid w:val="00C75230"/>
    <w:rsid w:val="00C81B85"/>
    <w:rsid w:val="00D96A7D"/>
    <w:rsid w:val="00DB1898"/>
    <w:rsid w:val="00DD6965"/>
    <w:rsid w:val="00DF2383"/>
    <w:rsid w:val="00E2768F"/>
    <w:rsid w:val="00F83E99"/>
    <w:rsid w:val="00FC044F"/>
    <w:rsid w:val="00FD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22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7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7ED"/>
    <w:rPr>
      <w:rFonts w:asciiTheme="majorHAnsi" w:eastAsiaTheme="majorEastAsia" w:hAnsiTheme="majorHAnsi" w:cstheme="majorBidi"/>
      <w:sz w:val="18"/>
      <w:szCs w:val="18"/>
    </w:rPr>
  </w:style>
  <w:style w:type="paragraph" w:styleId="a5">
    <w:name w:val="header"/>
    <w:basedOn w:val="a"/>
    <w:link w:val="a6"/>
    <w:uiPriority w:val="99"/>
    <w:unhideWhenUsed/>
    <w:rsid w:val="00352F01"/>
    <w:pPr>
      <w:tabs>
        <w:tab w:val="center" w:pos="4252"/>
        <w:tab w:val="right" w:pos="8504"/>
      </w:tabs>
      <w:snapToGrid w:val="0"/>
    </w:pPr>
  </w:style>
  <w:style w:type="character" w:customStyle="1" w:styleId="a6">
    <w:name w:val="ヘッダー (文字)"/>
    <w:basedOn w:val="a0"/>
    <w:link w:val="a5"/>
    <w:uiPriority w:val="99"/>
    <w:rsid w:val="00352F01"/>
  </w:style>
  <w:style w:type="paragraph" w:styleId="a7">
    <w:name w:val="footer"/>
    <w:basedOn w:val="a"/>
    <w:link w:val="a8"/>
    <w:uiPriority w:val="99"/>
    <w:unhideWhenUsed/>
    <w:rsid w:val="00352F01"/>
    <w:pPr>
      <w:tabs>
        <w:tab w:val="center" w:pos="4252"/>
        <w:tab w:val="right" w:pos="8504"/>
      </w:tabs>
      <w:snapToGrid w:val="0"/>
    </w:pPr>
  </w:style>
  <w:style w:type="character" w:customStyle="1" w:styleId="a8">
    <w:name w:val="フッター (文字)"/>
    <w:basedOn w:val="a0"/>
    <w:link w:val="a7"/>
    <w:uiPriority w:val="99"/>
    <w:rsid w:val="00352F01"/>
  </w:style>
  <w:style w:type="table" w:styleId="a9">
    <w:name w:val="Table Grid"/>
    <w:basedOn w:val="a1"/>
    <w:uiPriority w:val="39"/>
    <w:rsid w:val="0054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47569"/>
    <w:pPr>
      <w:ind w:leftChars="400" w:left="840"/>
    </w:pPr>
  </w:style>
  <w:style w:type="paragraph" w:customStyle="1" w:styleId="Default">
    <w:name w:val="Default"/>
    <w:rsid w:val="00547569"/>
    <w:pPr>
      <w:widowControl w:val="0"/>
      <w:autoSpaceDE w:val="0"/>
      <w:autoSpaceDN w:val="0"/>
      <w:adjustRightInd w:val="0"/>
    </w:pPr>
    <w:rPr>
      <w:rFonts w:ascii="Meiryo UI" w:eastAsia="Meiryo UI" w:cs="Meiryo UI"/>
      <w:color w:val="000000"/>
      <w:kern w:val="0"/>
      <w:sz w:val="24"/>
      <w:szCs w:val="24"/>
    </w:rPr>
  </w:style>
  <w:style w:type="character" w:customStyle="1" w:styleId="a-fz-m">
    <w:name w:val="a-fz-m"/>
    <w:basedOn w:val="a0"/>
    <w:rsid w:val="00FD19D6"/>
  </w:style>
  <w:style w:type="character" w:styleId="ab">
    <w:name w:val="Strong"/>
    <w:basedOn w:val="a0"/>
    <w:uiPriority w:val="22"/>
    <w:qFormat/>
    <w:rsid w:val="00332F7E"/>
    <w:rPr>
      <w:b/>
      <w:bCs/>
    </w:rPr>
  </w:style>
  <w:style w:type="paragraph" w:styleId="Web">
    <w:name w:val="Normal (Web)"/>
    <w:basedOn w:val="a"/>
    <w:uiPriority w:val="99"/>
    <w:semiHidden/>
    <w:unhideWhenUsed/>
    <w:rsid w:val="00332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indentmark2">
    <w:name w:val="m-indent_mark2"/>
    <w:basedOn w:val="a0"/>
    <w:rsid w:val="00332F7E"/>
  </w:style>
  <w:style w:type="character" w:customStyle="1" w:styleId="a-color-gray1">
    <w:name w:val="a-color-gray1"/>
    <w:basedOn w:val="a0"/>
    <w:rsid w:val="00332F7E"/>
    <w:rPr>
      <w:color w:val="666666"/>
    </w:rPr>
  </w:style>
  <w:style w:type="character" w:customStyle="1" w:styleId="a-fz-s">
    <w:name w:val="a-fz-s"/>
    <w:basedOn w:val="a0"/>
    <w:rsid w:val="00332F7E"/>
  </w:style>
  <w:style w:type="paragraph" w:styleId="ac">
    <w:name w:val="Revision"/>
    <w:hidden/>
    <w:uiPriority w:val="99"/>
    <w:semiHidden/>
    <w:rsid w:val="002A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633">
      <w:bodyDiv w:val="1"/>
      <w:marLeft w:val="0"/>
      <w:marRight w:val="0"/>
      <w:marTop w:val="0"/>
      <w:marBottom w:val="0"/>
      <w:divBdr>
        <w:top w:val="none" w:sz="0" w:space="0" w:color="auto"/>
        <w:left w:val="none" w:sz="0" w:space="0" w:color="auto"/>
        <w:bottom w:val="none" w:sz="0" w:space="0" w:color="auto"/>
        <w:right w:val="none" w:sz="0" w:space="0" w:color="auto"/>
      </w:divBdr>
      <w:divsChild>
        <w:div w:id="2142570700">
          <w:marLeft w:val="0"/>
          <w:marRight w:val="0"/>
          <w:marTop w:val="0"/>
          <w:marBottom w:val="0"/>
          <w:divBdr>
            <w:top w:val="none" w:sz="0" w:space="0" w:color="auto"/>
            <w:left w:val="none" w:sz="0" w:space="0" w:color="auto"/>
            <w:bottom w:val="none" w:sz="0" w:space="0" w:color="auto"/>
            <w:right w:val="none" w:sz="0" w:space="0" w:color="auto"/>
          </w:divBdr>
          <w:divsChild>
            <w:div w:id="905608808">
              <w:marLeft w:val="0"/>
              <w:marRight w:val="0"/>
              <w:marTop w:val="0"/>
              <w:marBottom w:val="0"/>
              <w:divBdr>
                <w:top w:val="none" w:sz="0" w:space="0" w:color="auto"/>
                <w:left w:val="none" w:sz="0" w:space="0" w:color="auto"/>
                <w:bottom w:val="none" w:sz="0" w:space="0" w:color="auto"/>
                <w:right w:val="none" w:sz="0" w:space="0" w:color="auto"/>
              </w:divBdr>
              <w:divsChild>
                <w:div w:id="679428726">
                  <w:marLeft w:val="0"/>
                  <w:marRight w:val="0"/>
                  <w:marTop w:val="0"/>
                  <w:marBottom w:val="0"/>
                  <w:divBdr>
                    <w:top w:val="none" w:sz="0" w:space="0" w:color="auto"/>
                    <w:left w:val="none" w:sz="0" w:space="0" w:color="auto"/>
                    <w:bottom w:val="none" w:sz="0" w:space="0" w:color="auto"/>
                    <w:right w:val="none" w:sz="0" w:space="0" w:color="auto"/>
                  </w:divBdr>
                  <w:divsChild>
                    <w:div w:id="2101753814">
                      <w:marLeft w:val="0"/>
                      <w:marRight w:val="0"/>
                      <w:marTop w:val="0"/>
                      <w:marBottom w:val="0"/>
                      <w:divBdr>
                        <w:top w:val="none" w:sz="0" w:space="0" w:color="auto"/>
                        <w:left w:val="none" w:sz="0" w:space="0" w:color="auto"/>
                        <w:bottom w:val="none" w:sz="0" w:space="0" w:color="auto"/>
                        <w:right w:val="none" w:sz="0" w:space="0" w:color="auto"/>
                      </w:divBdr>
                      <w:divsChild>
                        <w:div w:id="1079522534">
                          <w:marLeft w:val="0"/>
                          <w:marRight w:val="0"/>
                          <w:marTop w:val="0"/>
                          <w:marBottom w:val="0"/>
                          <w:divBdr>
                            <w:top w:val="none" w:sz="0" w:space="0" w:color="auto"/>
                            <w:left w:val="none" w:sz="0" w:space="0" w:color="auto"/>
                            <w:bottom w:val="none" w:sz="0" w:space="0" w:color="auto"/>
                            <w:right w:val="none" w:sz="0" w:space="0" w:color="auto"/>
                          </w:divBdr>
                          <w:divsChild>
                            <w:div w:id="735708294">
                              <w:marLeft w:val="0"/>
                              <w:marRight w:val="0"/>
                              <w:marTop w:val="0"/>
                              <w:marBottom w:val="0"/>
                              <w:divBdr>
                                <w:top w:val="none" w:sz="0" w:space="0" w:color="auto"/>
                                <w:left w:val="none" w:sz="0" w:space="0" w:color="auto"/>
                                <w:bottom w:val="none" w:sz="0" w:space="0" w:color="auto"/>
                                <w:right w:val="none" w:sz="0" w:space="0" w:color="auto"/>
                              </w:divBdr>
                              <w:divsChild>
                                <w:div w:id="821315253">
                                  <w:marLeft w:val="0"/>
                                  <w:marRight w:val="0"/>
                                  <w:marTop w:val="0"/>
                                  <w:marBottom w:val="0"/>
                                  <w:divBdr>
                                    <w:top w:val="none" w:sz="0" w:space="0" w:color="auto"/>
                                    <w:left w:val="none" w:sz="0" w:space="0" w:color="auto"/>
                                    <w:bottom w:val="none" w:sz="0" w:space="0" w:color="auto"/>
                                    <w:right w:val="none" w:sz="0" w:space="0" w:color="auto"/>
                                  </w:divBdr>
                                </w:div>
                              </w:divsChild>
                            </w:div>
                            <w:div w:id="333919491">
                              <w:marLeft w:val="0"/>
                              <w:marRight w:val="0"/>
                              <w:marTop w:val="0"/>
                              <w:marBottom w:val="0"/>
                              <w:divBdr>
                                <w:top w:val="none" w:sz="0" w:space="0" w:color="auto"/>
                                <w:left w:val="none" w:sz="0" w:space="0" w:color="auto"/>
                                <w:bottom w:val="none" w:sz="0" w:space="0" w:color="auto"/>
                                <w:right w:val="none" w:sz="0" w:space="0" w:color="auto"/>
                              </w:divBdr>
                              <w:divsChild>
                                <w:div w:id="5789520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799395">
      <w:bodyDiv w:val="1"/>
      <w:marLeft w:val="0"/>
      <w:marRight w:val="0"/>
      <w:marTop w:val="0"/>
      <w:marBottom w:val="0"/>
      <w:divBdr>
        <w:top w:val="none" w:sz="0" w:space="0" w:color="auto"/>
        <w:left w:val="none" w:sz="0" w:space="0" w:color="auto"/>
        <w:bottom w:val="none" w:sz="0" w:space="0" w:color="auto"/>
        <w:right w:val="none" w:sz="0" w:space="0" w:color="auto"/>
      </w:divBdr>
      <w:divsChild>
        <w:div w:id="521011485">
          <w:marLeft w:val="0"/>
          <w:marRight w:val="0"/>
          <w:marTop w:val="0"/>
          <w:marBottom w:val="0"/>
          <w:divBdr>
            <w:top w:val="none" w:sz="0" w:space="0" w:color="auto"/>
            <w:left w:val="none" w:sz="0" w:space="0" w:color="auto"/>
            <w:bottom w:val="none" w:sz="0" w:space="0" w:color="auto"/>
            <w:right w:val="none" w:sz="0" w:space="0" w:color="auto"/>
          </w:divBdr>
          <w:divsChild>
            <w:div w:id="649941515">
              <w:marLeft w:val="0"/>
              <w:marRight w:val="0"/>
              <w:marTop w:val="0"/>
              <w:marBottom w:val="0"/>
              <w:divBdr>
                <w:top w:val="none" w:sz="0" w:space="0" w:color="auto"/>
                <w:left w:val="none" w:sz="0" w:space="0" w:color="auto"/>
                <w:bottom w:val="none" w:sz="0" w:space="0" w:color="auto"/>
                <w:right w:val="none" w:sz="0" w:space="0" w:color="auto"/>
              </w:divBdr>
              <w:divsChild>
                <w:div w:id="496111127">
                  <w:marLeft w:val="0"/>
                  <w:marRight w:val="0"/>
                  <w:marTop w:val="0"/>
                  <w:marBottom w:val="0"/>
                  <w:divBdr>
                    <w:top w:val="none" w:sz="0" w:space="0" w:color="auto"/>
                    <w:left w:val="none" w:sz="0" w:space="0" w:color="auto"/>
                    <w:bottom w:val="none" w:sz="0" w:space="0" w:color="auto"/>
                    <w:right w:val="none" w:sz="0" w:space="0" w:color="auto"/>
                  </w:divBdr>
                  <w:divsChild>
                    <w:div w:id="10760560">
                      <w:marLeft w:val="0"/>
                      <w:marRight w:val="0"/>
                      <w:marTop w:val="0"/>
                      <w:marBottom w:val="0"/>
                      <w:divBdr>
                        <w:top w:val="none" w:sz="0" w:space="0" w:color="auto"/>
                        <w:left w:val="none" w:sz="0" w:space="0" w:color="auto"/>
                        <w:bottom w:val="none" w:sz="0" w:space="0" w:color="auto"/>
                        <w:right w:val="none" w:sz="0" w:space="0" w:color="auto"/>
                      </w:divBdr>
                      <w:divsChild>
                        <w:div w:id="149101033">
                          <w:marLeft w:val="0"/>
                          <w:marRight w:val="0"/>
                          <w:marTop w:val="0"/>
                          <w:marBottom w:val="0"/>
                          <w:divBdr>
                            <w:top w:val="none" w:sz="0" w:space="0" w:color="auto"/>
                            <w:left w:val="none" w:sz="0" w:space="0" w:color="auto"/>
                            <w:bottom w:val="none" w:sz="0" w:space="0" w:color="auto"/>
                            <w:right w:val="none" w:sz="0" w:space="0" w:color="auto"/>
                          </w:divBdr>
                          <w:divsChild>
                            <w:div w:id="1625194391">
                              <w:marLeft w:val="0"/>
                              <w:marRight w:val="0"/>
                              <w:marTop w:val="0"/>
                              <w:marBottom w:val="0"/>
                              <w:divBdr>
                                <w:top w:val="none" w:sz="0" w:space="0" w:color="auto"/>
                                <w:left w:val="none" w:sz="0" w:space="0" w:color="auto"/>
                                <w:bottom w:val="none" w:sz="0" w:space="0" w:color="auto"/>
                                <w:right w:val="none" w:sz="0" w:space="0" w:color="auto"/>
                              </w:divBdr>
                              <w:divsChild>
                                <w:div w:id="471607108">
                                  <w:marLeft w:val="0"/>
                                  <w:marRight w:val="0"/>
                                  <w:marTop w:val="0"/>
                                  <w:marBottom w:val="0"/>
                                  <w:divBdr>
                                    <w:top w:val="none" w:sz="0" w:space="0" w:color="auto"/>
                                    <w:left w:val="none" w:sz="0" w:space="0" w:color="auto"/>
                                    <w:bottom w:val="none" w:sz="0" w:space="0" w:color="auto"/>
                                    <w:right w:val="none" w:sz="0" w:space="0" w:color="auto"/>
                                  </w:divBdr>
                                </w:div>
                              </w:divsChild>
                            </w:div>
                            <w:div w:id="1609124575">
                              <w:marLeft w:val="0"/>
                              <w:marRight w:val="0"/>
                              <w:marTop w:val="0"/>
                              <w:marBottom w:val="0"/>
                              <w:divBdr>
                                <w:top w:val="none" w:sz="0" w:space="0" w:color="auto"/>
                                <w:left w:val="none" w:sz="0" w:space="0" w:color="auto"/>
                                <w:bottom w:val="none" w:sz="0" w:space="0" w:color="auto"/>
                                <w:right w:val="none" w:sz="0" w:space="0" w:color="auto"/>
                              </w:divBdr>
                              <w:divsChild>
                                <w:div w:id="81921557">
                                  <w:marLeft w:val="0"/>
                                  <w:marRight w:val="0"/>
                                  <w:marTop w:val="0"/>
                                  <w:marBottom w:val="0"/>
                                  <w:divBdr>
                                    <w:top w:val="none" w:sz="0" w:space="0" w:color="auto"/>
                                    <w:left w:val="none" w:sz="0" w:space="0" w:color="auto"/>
                                    <w:bottom w:val="none" w:sz="0" w:space="0" w:color="auto"/>
                                    <w:right w:val="none" w:sz="0" w:space="0" w:color="auto"/>
                                  </w:divBdr>
                                </w:div>
                              </w:divsChild>
                            </w:div>
                            <w:div w:id="803045140">
                              <w:marLeft w:val="0"/>
                              <w:marRight w:val="0"/>
                              <w:marTop w:val="0"/>
                              <w:marBottom w:val="0"/>
                              <w:divBdr>
                                <w:top w:val="none" w:sz="0" w:space="0" w:color="auto"/>
                                <w:left w:val="none" w:sz="0" w:space="0" w:color="auto"/>
                                <w:bottom w:val="none" w:sz="0" w:space="0" w:color="auto"/>
                                <w:right w:val="none" w:sz="0" w:space="0" w:color="auto"/>
                              </w:divBdr>
                              <w:divsChild>
                                <w:div w:id="1745101811">
                                  <w:marLeft w:val="0"/>
                                  <w:marRight w:val="0"/>
                                  <w:marTop w:val="0"/>
                                  <w:marBottom w:val="0"/>
                                  <w:divBdr>
                                    <w:top w:val="none" w:sz="0" w:space="0" w:color="auto"/>
                                    <w:left w:val="none" w:sz="0" w:space="0" w:color="auto"/>
                                    <w:bottom w:val="none" w:sz="0" w:space="0" w:color="auto"/>
                                    <w:right w:val="none" w:sz="0" w:space="0" w:color="auto"/>
                                  </w:divBdr>
                                </w:div>
                              </w:divsChild>
                            </w:div>
                            <w:div w:id="920062803">
                              <w:marLeft w:val="0"/>
                              <w:marRight w:val="0"/>
                              <w:marTop w:val="0"/>
                              <w:marBottom w:val="0"/>
                              <w:divBdr>
                                <w:top w:val="none" w:sz="0" w:space="0" w:color="auto"/>
                                <w:left w:val="none" w:sz="0" w:space="0" w:color="auto"/>
                                <w:bottom w:val="none" w:sz="0" w:space="0" w:color="auto"/>
                                <w:right w:val="none" w:sz="0" w:space="0" w:color="auto"/>
                              </w:divBdr>
                              <w:divsChild>
                                <w:div w:id="15794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600538">
      <w:bodyDiv w:val="1"/>
      <w:marLeft w:val="0"/>
      <w:marRight w:val="0"/>
      <w:marTop w:val="0"/>
      <w:marBottom w:val="0"/>
      <w:divBdr>
        <w:top w:val="none" w:sz="0" w:space="0" w:color="auto"/>
        <w:left w:val="none" w:sz="0" w:space="0" w:color="auto"/>
        <w:bottom w:val="none" w:sz="0" w:space="0" w:color="auto"/>
        <w:right w:val="none" w:sz="0" w:space="0" w:color="auto"/>
      </w:divBdr>
      <w:divsChild>
        <w:div w:id="94641859">
          <w:marLeft w:val="0"/>
          <w:marRight w:val="0"/>
          <w:marTop w:val="0"/>
          <w:marBottom w:val="0"/>
          <w:divBdr>
            <w:top w:val="none" w:sz="0" w:space="0" w:color="auto"/>
            <w:left w:val="none" w:sz="0" w:space="0" w:color="auto"/>
            <w:bottom w:val="none" w:sz="0" w:space="0" w:color="auto"/>
            <w:right w:val="none" w:sz="0" w:space="0" w:color="auto"/>
          </w:divBdr>
          <w:divsChild>
            <w:div w:id="170412030">
              <w:marLeft w:val="0"/>
              <w:marRight w:val="0"/>
              <w:marTop w:val="0"/>
              <w:marBottom w:val="0"/>
              <w:divBdr>
                <w:top w:val="none" w:sz="0" w:space="0" w:color="auto"/>
                <w:left w:val="none" w:sz="0" w:space="0" w:color="auto"/>
                <w:bottom w:val="none" w:sz="0" w:space="0" w:color="auto"/>
                <w:right w:val="none" w:sz="0" w:space="0" w:color="auto"/>
              </w:divBdr>
              <w:divsChild>
                <w:div w:id="730272826">
                  <w:marLeft w:val="0"/>
                  <w:marRight w:val="0"/>
                  <w:marTop w:val="0"/>
                  <w:marBottom w:val="0"/>
                  <w:divBdr>
                    <w:top w:val="none" w:sz="0" w:space="0" w:color="auto"/>
                    <w:left w:val="none" w:sz="0" w:space="0" w:color="auto"/>
                    <w:bottom w:val="none" w:sz="0" w:space="0" w:color="auto"/>
                    <w:right w:val="none" w:sz="0" w:space="0" w:color="auto"/>
                  </w:divBdr>
                  <w:divsChild>
                    <w:div w:id="1952931557">
                      <w:marLeft w:val="0"/>
                      <w:marRight w:val="0"/>
                      <w:marTop w:val="0"/>
                      <w:marBottom w:val="0"/>
                      <w:divBdr>
                        <w:top w:val="none" w:sz="0" w:space="0" w:color="auto"/>
                        <w:left w:val="none" w:sz="0" w:space="0" w:color="auto"/>
                        <w:bottom w:val="none" w:sz="0" w:space="0" w:color="auto"/>
                        <w:right w:val="none" w:sz="0" w:space="0" w:color="auto"/>
                      </w:divBdr>
                      <w:divsChild>
                        <w:div w:id="78018952">
                          <w:marLeft w:val="0"/>
                          <w:marRight w:val="0"/>
                          <w:marTop w:val="0"/>
                          <w:marBottom w:val="0"/>
                          <w:divBdr>
                            <w:top w:val="none" w:sz="0" w:space="0" w:color="auto"/>
                            <w:left w:val="none" w:sz="0" w:space="0" w:color="auto"/>
                            <w:bottom w:val="none" w:sz="0" w:space="0" w:color="auto"/>
                            <w:right w:val="none" w:sz="0" w:space="0" w:color="auto"/>
                          </w:divBdr>
                          <w:divsChild>
                            <w:div w:id="1738162184">
                              <w:marLeft w:val="0"/>
                              <w:marRight w:val="0"/>
                              <w:marTop w:val="0"/>
                              <w:marBottom w:val="0"/>
                              <w:divBdr>
                                <w:top w:val="none" w:sz="0" w:space="0" w:color="auto"/>
                                <w:left w:val="none" w:sz="0" w:space="0" w:color="auto"/>
                                <w:bottom w:val="none" w:sz="0" w:space="0" w:color="auto"/>
                                <w:right w:val="none" w:sz="0" w:space="0" w:color="auto"/>
                              </w:divBdr>
                              <w:divsChild>
                                <w:div w:id="210776954">
                                  <w:marLeft w:val="0"/>
                                  <w:marRight w:val="0"/>
                                  <w:marTop w:val="300"/>
                                  <w:marBottom w:val="0"/>
                                  <w:divBdr>
                                    <w:top w:val="none" w:sz="0" w:space="0" w:color="auto"/>
                                    <w:left w:val="none" w:sz="0" w:space="0" w:color="auto"/>
                                    <w:bottom w:val="none" w:sz="0" w:space="0" w:color="auto"/>
                                    <w:right w:val="none" w:sz="0" w:space="0" w:color="auto"/>
                                  </w:divBdr>
                                  <w:divsChild>
                                    <w:div w:id="1391885731">
                                      <w:marLeft w:val="0"/>
                                      <w:marRight w:val="0"/>
                                      <w:marTop w:val="0"/>
                                      <w:marBottom w:val="0"/>
                                      <w:divBdr>
                                        <w:top w:val="none" w:sz="0" w:space="0" w:color="auto"/>
                                        <w:left w:val="none" w:sz="0" w:space="0" w:color="auto"/>
                                        <w:bottom w:val="none" w:sz="0" w:space="0" w:color="auto"/>
                                        <w:right w:val="none" w:sz="0" w:space="0" w:color="auto"/>
                                      </w:divBdr>
                                      <w:divsChild>
                                        <w:div w:id="71585740">
                                          <w:marLeft w:val="0"/>
                                          <w:marRight w:val="0"/>
                                          <w:marTop w:val="0"/>
                                          <w:marBottom w:val="0"/>
                                          <w:divBdr>
                                            <w:top w:val="none" w:sz="0" w:space="0" w:color="auto"/>
                                            <w:left w:val="none" w:sz="0" w:space="0" w:color="auto"/>
                                            <w:bottom w:val="none" w:sz="0" w:space="0" w:color="auto"/>
                                            <w:right w:val="none" w:sz="0" w:space="0" w:color="auto"/>
                                          </w:divBdr>
                                          <w:divsChild>
                                            <w:div w:id="1295405152">
                                              <w:marLeft w:val="0"/>
                                              <w:marRight w:val="0"/>
                                              <w:marTop w:val="0"/>
                                              <w:marBottom w:val="0"/>
                                              <w:divBdr>
                                                <w:top w:val="none" w:sz="0" w:space="0" w:color="auto"/>
                                                <w:left w:val="none" w:sz="0" w:space="0" w:color="auto"/>
                                                <w:bottom w:val="none" w:sz="0" w:space="0" w:color="auto"/>
                                                <w:right w:val="none" w:sz="0" w:space="0" w:color="auto"/>
                                              </w:divBdr>
                                              <w:divsChild>
                                                <w:div w:id="2109810456">
                                                  <w:marLeft w:val="0"/>
                                                  <w:marRight w:val="0"/>
                                                  <w:marTop w:val="0"/>
                                                  <w:marBottom w:val="0"/>
                                                  <w:divBdr>
                                                    <w:top w:val="none" w:sz="0" w:space="0" w:color="auto"/>
                                                    <w:left w:val="none" w:sz="0" w:space="0" w:color="auto"/>
                                                    <w:bottom w:val="none" w:sz="0" w:space="0" w:color="auto"/>
                                                    <w:right w:val="none" w:sz="0" w:space="0" w:color="auto"/>
                                                  </w:divBdr>
                                                </w:div>
                                              </w:divsChild>
                                            </w:div>
                                            <w:div w:id="1021470035">
                                              <w:marLeft w:val="0"/>
                                              <w:marRight w:val="0"/>
                                              <w:marTop w:val="0"/>
                                              <w:marBottom w:val="0"/>
                                              <w:divBdr>
                                                <w:top w:val="none" w:sz="0" w:space="0" w:color="auto"/>
                                                <w:left w:val="none" w:sz="0" w:space="0" w:color="auto"/>
                                                <w:bottom w:val="none" w:sz="0" w:space="0" w:color="auto"/>
                                                <w:right w:val="none" w:sz="0" w:space="0" w:color="auto"/>
                                              </w:divBdr>
                                              <w:divsChild>
                                                <w:div w:id="366637606">
                                                  <w:marLeft w:val="0"/>
                                                  <w:marRight w:val="0"/>
                                                  <w:marTop w:val="150"/>
                                                  <w:marBottom w:val="0"/>
                                                  <w:divBdr>
                                                    <w:top w:val="none" w:sz="0" w:space="0" w:color="auto"/>
                                                    <w:left w:val="none" w:sz="0" w:space="0" w:color="auto"/>
                                                    <w:bottom w:val="none" w:sz="0" w:space="0" w:color="auto"/>
                                                    <w:right w:val="none" w:sz="0" w:space="0" w:color="auto"/>
                                                  </w:divBdr>
                                                </w:div>
                                              </w:divsChild>
                                            </w:div>
                                            <w:div w:id="467091377">
                                              <w:marLeft w:val="0"/>
                                              <w:marRight w:val="0"/>
                                              <w:marTop w:val="0"/>
                                              <w:marBottom w:val="0"/>
                                              <w:divBdr>
                                                <w:top w:val="none" w:sz="0" w:space="0" w:color="auto"/>
                                                <w:left w:val="none" w:sz="0" w:space="0" w:color="auto"/>
                                                <w:bottom w:val="none" w:sz="0" w:space="0" w:color="auto"/>
                                                <w:right w:val="none" w:sz="0" w:space="0" w:color="auto"/>
                                              </w:divBdr>
                                              <w:divsChild>
                                                <w:div w:id="1222136151">
                                                  <w:marLeft w:val="0"/>
                                                  <w:marRight w:val="0"/>
                                                  <w:marTop w:val="0"/>
                                                  <w:marBottom w:val="0"/>
                                                  <w:divBdr>
                                                    <w:top w:val="none" w:sz="0" w:space="0" w:color="auto"/>
                                                    <w:left w:val="none" w:sz="0" w:space="0" w:color="auto"/>
                                                    <w:bottom w:val="none" w:sz="0" w:space="0" w:color="auto"/>
                                                    <w:right w:val="none" w:sz="0" w:space="0" w:color="auto"/>
                                                  </w:divBdr>
                                                </w:div>
                                              </w:divsChild>
                                            </w:div>
                                            <w:div w:id="1851917821">
                                              <w:marLeft w:val="0"/>
                                              <w:marRight w:val="0"/>
                                              <w:marTop w:val="0"/>
                                              <w:marBottom w:val="0"/>
                                              <w:divBdr>
                                                <w:top w:val="none" w:sz="0" w:space="0" w:color="auto"/>
                                                <w:left w:val="none" w:sz="0" w:space="0" w:color="auto"/>
                                                <w:bottom w:val="none" w:sz="0" w:space="0" w:color="auto"/>
                                                <w:right w:val="none" w:sz="0" w:space="0" w:color="auto"/>
                                              </w:divBdr>
                                              <w:divsChild>
                                                <w:div w:id="387844306">
                                                  <w:marLeft w:val="0"/>
                                                  <w:marRight w:val="0"/>
                                                  <w:marTop w:val="0"/>
                                                  <w:marBottom w:val="0"/>
                                                  <w:divBdr>
                                                    <w:top w:val="none" w:sz="0" w:space="0" w:color="auto"/>
                                                    <w:left w:val="none" w:sz="0" w:space="0" w:color="auto"/>
                                                    <w:bottom w:val="none" w:sz="0" w:space="0" w:color="auto"/>
                                                    <w:right w:val="none" w:sz="0" w:space="0" w:color="auto"/>
                                                  </w:divBdr>
                                                </w:div>
                                              </w:divsChild>
                                            </w:div>
                                            <w:div w:id="2076538291">
                                              <w:marLeft w:val="0"/>
                                              <w:marRight w:val="0"/>
                                              <w:marTop w:val="0"/>
                                              <w:marBottom w:val="0"/>
                                              <w:divBdr>
                                                <w:top w:val="none" w:sz="0" w:space="0" w:color="auto"/>
                                                <w:left w:val="none" w:sz="0" w:space="0" w:color="auto"/>
                                                <w:bottom w:val="none" w:sz="0" w:space="0" w:color="auto"/>
                                                <w:right w:val="none" w:sz="0" w:space="0" w:color="auto"/>
                                              </w:divBdr>
                                              <w:divsChild>
                                                <w:div w:id="1438863345">
                                                  <w:marLeft w:val="0"/>
                                                  <w:marRight w:val="0"/>
                                                  <w:marTop w:val="0"/>
                                                  <w:marBottom w:val="0"/>
                                                  <w:divBdr>
                                                    <w:top w:val="none" w:sz="0" w:space="0" w:color="auto"/>
                                                    <w:left w:val="none" w:sz="0" w:space="0" w:color="auto"/>
                                                    <w:bottom w:val="none" w:sz="0" w:space="0" w:color="auto"/>
                                                    <w:right w:val="none" w:sz="0" w:space="0" w:color="auto"/>
                                                  </w:divBdr>
                                                </w:div>
                                              </w:divsChild>
                                            </w:div>
                                            <w:div w:id="1356738046">
                                              <w:marLeft w:val="0"/>
                                              <w:marRight w:val="0"/>
                                              <w:marTop w:val="0"/>
                                              <w:marBottom w:val="0"/>
                                              <w:divBdr>
                                                <w:top w:val="none" w:sz="0" w:space="0" w:color="auto"/>
                                                <w:left w:val="none" w:sz="0" w:space="0" w:color="auto"/>
                                                <w:bottom w:val="none" w:sz="0" w:space="0" w:color="auto"/>
                                                <w:right w:val="none" w:sz="0" w:space="0" w:color="auto"/>
                                              </w:divBdr>
                                              <w:divsChild>
                                                <w:div w:id="15057815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6E1D-29E6-4829-9621-1BE58B73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2022-08-22T02:15:00Z</dcterms:created>
  <dcterms:modified xsi:type="dcterms:W3CDTF">2022-08-22T02:16:00Z</dcterms:modified>
</cp:coreProperties>
</file>